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22" w:rsidRPr="008A6FEE" w:rsidRDefault="008A6FEE" w:rsidP="00414D63">
      <w:pPr>
        <w:pStyle w:val="Corpotesto"/>
        <w:spacing w:line="276" w:lineRule="auto"/>
        <w:jc w:val="center"/>
        <w:rPr>
          <w:rFonts w:ascii="Arial" w:hAnsi="Arial" w:cs="Arial"/>
          <w:sz w:val="20"/>
        </w:rPr>
      </w:pPr>
      <w:r w:rsidRPr="008A6FEE">
        <w:rPr>
          <w:rFonts w:ascii="Arial" w:hAnsi="Arial" w:cs="Arial"/>
          <w:noProof/>
          <w:sz w:val="20"/>
          <w:lang w:eastAsia="it-IT"/>
        </w:rPr>
        <w:drawing>
          <wp:inline distT="0" distB="0" distL="0" distR="0">
            <wp:extent cx="1619250" cy="1190625"/>
            <wp:effectExtent l="0" t="0" r="0" b="9525"/>
            <wp:docPr id="1" name="Immagine 1" descr="D:\SiPc\Desktop\Desktop\PagoPA\logo avvocati lame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Pc\Desktop\Desktop\PagoPA\logo avvocati lamez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D63">
        <w:rPr>
          <w:rFonts w:ascii="Arial" w:hAnsi="Arial" w:cs="Arial"/>
          <w:noProof/>
          <w:sz w:val="20"/>
          <w:lang w:eastAsia="it-IT"/>
        </w:rPr>
        <w:drawing>
          <wp:inline distT="0" distB="0" distL="0" distR="0">
            <wp:extent cx="4704080" cy="1114332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951" cy="112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22" w:rsidRPr="008A6FEE" w:rsidRDefault="00DE7422">
      <w:pPr>
        <w:pStyle w:val="Corpotesto"/>
        <w:spacing w:before="6"/>
        <w:rPr>
          <w:rFonts w:ascii="Arial" w:hAnsi="Arial" w:cs="Arial"/>
          <w:sz w:val="28"/>
        </w:rPr>
      </w:pPr>
    </w:p>
    <w:p w:rsidR="001E47BB" w:rsidRDefault="001E47BB" w:rsidP="001E47BB">
      <w:pPr>
        <w:pStyle w:val="Default"/>
      </w:pPr>
    </w:p>
    <w:p w:rsidR="001E47BB" w:rsidRPr="001E47BB" w:rsidRDefault="001E47BB" w:rsidP="00EF13ED">
      <w:pPr>
        <w:pStyle w:val="Default"/>
        <w:jc w:val="center"/>
        <w:rPr>
          <w:rFonts w:ascii="Gungsuh" w:eastAsia="Gungsuh" w:hAnsi="Gungsuh"/>
          <w:sz w:val="32"/>
          <w:szCs w:val="32"/>
        </w:rPr>
      </w:pPr>
      <w:r>
        <w:rPr>
          <w:rFonts w:ascii="Gungsuh" w:eastAsia="Gungsuh" w:hAnsi="Gungsuh"/>
          <w:b/>
          <w:bCs/>
          <w:sz w:val="32"/>
          <w:szCs w:val="32"/>
        </w:rPr>
        <w:t>CORSO DI FORMAZIONE OBBLIGATORIO</w:t>
      </w:r>
    </w:p>
    <w:p w:rsidR="00DE7422" w:rsidRDefault="001E47BB" w:rsidP="00EF13ED">
      <w:pPr>
        <w:pStyle w:val="Corpotesto"/>
        <w:spacing w:before="60"/>
        <w:ind w:right="357"/>
        <w:jc w:val="center"/>
        <w:rPr>
          <w:rFonts w:ascii="Gungsuh" w:eastAsia="Gungsuh" w:hAnsi="Gungsuh"/>
          <w:b/>
          <w:bCs/>
          <w:sz w:val="23"/>
          <w:szCs w:val="23"/>
        </w:rPr>
      </w:pPr>
      <w:r w:rsidRPr="001E47BB">
        <w:rPr>
          <w:rFonts w:ascii="Gungsuh" w:eastAsia="Gungsuh" w:hAnsi="Gungsuh"/>
          <w:b/>
          <w:bCs/>
          <w:sz w:val="23"/>
          <w:szCs w:val="23"/>
        </w:rPr>
        <w:t xml:space="preserve">art. 43 della legge n. 247/2012 e </w:t>
      </w:r>
      <w:proofErr w:type="spellStart"/>
      <w:r w:rsidRPr="001E47BB">
        <w:rPr>
          <w:rFonts w:ascii="Gungsuh" w:eastAsia="Gungsuh" w:hAnsi="Gungsuh"/>
          <w:b/>
          <w:bCs/>
          <w:sz w:val="23"/>
          <w:szCs w:val="23"/>
        </w:rPr>
        <w:t>d.m.</w:t>
      </w:r>
      <w:proofErr w:type="spellEnd"/>
      <w:r w:rsidRPr="001E47BB">
        <w:rPr>
          <w:rFonts w:ascii="Gungsuh" w:eastAsia="Gungsuh" w:hAnsi="Gungsuh"/>
          <w:b/>
          <w:bCs/>
          <w:sz w:val="23"/>
          <w:szCs w:val="23"/>
        </w:rPr>
        <w:t xml:space="preserve"> n.</w:t>
      </w:r>
      <w:r>
        <w:rPr>
          <w:rFonts w:ascii="Gungsuh" w:eastAsia="Gungsuh" w:hAnsi="Gungsuh"/>
          <w:b/>
          <w:bCs/>
          <w:sz w:val="23"/>
          <w:szCs w:val="23"/>
        </w:rPr>
        <w:t xml:space="preserve"> 17/2018 e successive modifiche</w:t>
      </w:r>
    </w:p>
    <w:p w:rsidR="001E47BB" w:rsidRDefault="001E47BB" w:rsidP="00EF13ED">
      <w:pPr>
        <w:pStyle w:val="Corpotesto"/>
        <w:spacing w:before="60"/>
        <w:ind w:right="357"/>
        <w:jc w:val="center"/>
        <w:rPr>
          <w:rFonts w:ascii="Gungsuh" w:eastAsia="Gungsuh" w:hAnsi="Gungsuh"/>
          <w:b/>
          <w:bCs/>
          <w:sz w:val="23"/>
          <w:szCs w:val="23"/>
        </w:rPr>
      </w:pPr>
    </w:p>
    <w:p w:rsidR="00A2616B" w:rsidRPr="00A2616B" w:rsidRDefault="00A2616B" w:rsidP="00EF13ED">
      <w:pPr>
        <w:widowControl/>
        <w:adjustRightInd w:val="0"/>
        <w:jc w:val="center"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E708CD" w:rsidRPr="00FC2C4E" w:rsidRDefault="005E28A6" w:rsidP="00A2616B">
      <w:pPr>
        <w:widowControl/>
        <w:adjustRightInd w:val="0"/>
        <w:ind w:left="567" w:right="924"/>
        <w:jc w:val="both"/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</w:pPr>
      <w:r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Si comunica agli iscritti che giorno </w:t>
      </w:r>
      <w:r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  <w:u w:val="single"/>
        </w:rPr>
        <w:t>5 settembre 2022, dalle ore 15:00 alle ore 19:00</w:t>
      </w:r>
      <w:r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, presso la Biblioteca dell’Ordine degli Avvocati di Lamezia Terme, sita al secondo piano del Tribunale, si terrà la prima lezione </w:t>
      </w:r>
      <w:r w:rsidR="008158DD"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del primo semestre </w:t>
      </w:r>
      <w:r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del </w:t>
      </w:r>
      <w:r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Corso integrativo del tirocinio forense di cui alla legge n. 247/2012 ed al D.M. 17/2018 e </w:t>
      </w:r>
      <w:proofErr w:type="gramStart"/>
      <w:r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>ss.mm.</w:t>
      </w:r>
      <w:r w:rsidR="00E708CD"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>,</w:t>
      </w:r>
      <w:proofErr w:type="gramEnd"/>
      <w:r w:rsidR="00E708CD" w:rsidRPr="00FC2C4E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 sul tema </w:t>
      </w:r>
    </w:p>
    <w:p w:rsidR="00E708CD" w:rsidRPr="00FC2C4E" w:rsidRDefault="00E708CD" w:rsidP="00A2616B">
      <w:pPr>
        <w:widowControl/>
        <w:adjustRightInd w:val="0"/>
        <w:ind w:left="567" w:right="924"/>
        <w:jc w:val="both"/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</w:pPr>
    </w:p>
    <w:p w:rsidR="005E28A6" w:rsidRPr="00FC2C4E" w:rsidRDefault="00E708CD" w:rsidP="00A2616B">
      <w:pPr>
        <w:widowControl/>
        <w:adjustRightInd w:val="0"/>
        <w:ind w:left="567" w:right="924"/>
        <w:jc w:val="both"/>
        <w:rPr>
          <w:rFonts w:ascii="Palatino Linotype" w:eastAsia="Gungsuh" w:hAnsi="Palatino Linotype" w:cs="Calibri"/>
          <w:b/>
          <w:bCs/>
          <w:color w:val="000000"/>
          <w:sz w:val="18"/>
          <w:szCs w:val="18"/>
        </w:rPr>
      </w:pPr>
      <w:r w:rsidRPr="00FC2C4E">
        <w:rPr>
          <w:rFonts w:ascii="Palatino Linotype" w:eastAsia="Gungsuh" w:hAnsi="Palatino Linotype" w:cs="Calibri"/>
          <w:b/>
          <w:bCs/>
          <w:i/>
          <w:color w:val="000000"/>
          <w:sz w:val="18"/>
          <w:szCs w:val="18"/>
          <w:u w:val="single"/>
        </w:rPr>
        <w:t xml:space="preserve">“Introduzione all’esame di abilitazione forense. </w:t>
      </w:r>
      <w:bookmarkStart w:id="0" w:name="_GoBack"/>
      <w:bookmarkEnd w:id="0"/>
      <w:r w:rsidRPr="00FC2C4E">
        <w:rPr>
          <w:rFonts w:ascii="Palatino Linotype" w:eastAsia="Gungsuh" w:hAnsi="Palatino Linotype" w:cs="Calibri"/>
          <w:b/>
          <w:bCs/>
          <w:i/>
          <w:color w:val="000000"/>
          <w:sz w:val="18"/>
          <w:szCs w:val="18"/>
          <w:u w:val="single"/>
        </w:rPr>
        <w:t>L’orale rafforzato”</w:t>
      </w:r>
      <w:r w:rsidRPr="00FC2C4E">
        <w:rPr>
          <w:rFonts w:ascii="Palatino Linotype" w:eastAsia="Gungsuh" w:hAnsi="Palatino Linotype" w:cs="Calibri"/>
          <w:b/>
          <w:bCs/>
          <w:color w:val="000000"/>
          <w:sz w:val="18"/>
          <w:szCs w:val="18"/>
        </w:rPr>
        <w:t>.</w:t>
      </w:r>
    </w:p>
    <w:p w:rsidR="00E708CD" w:rsidRPr="00FC2C4E" w:rsidRDefault="00E708CD" w:rsidP="00A2616B">
      <w:pPr>
        <w:widowControl/>
        <w:adjustRightInd w:val="0"/>
        <w:ind w:left="567" w:right="924"/>
        <w:jc w:val="both"/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</w:pPr>
    </w:p>
    <w:p w:rsidR="005E28A6" w:rsidRDefault="005E28A6" w:rsidP="00A2616B">
      <w:pPr>
        <w:widowControl/>
        <w:adjustRightInd w:val="0"/>
        <w:ind w:left="567" w:right="924"/>
        <w:jc w:val="both"/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</w:pPr>
    </w:p>
    <w:p w:rsidR="00A2616B" w:rsidRPr="00A2616B" w:rsidRDefault="008158DD" w:rsidP="00E708CD">
      <w:pPr>
        <w:widowControl/>
        <w:adjustRightInd w:val="0"/>
        <w:ind w:left="567" w:right="924"/>
        <w:jc w:val="both"/>
        <w:rPr>
          <w:rFonts w:ascii="Palatino Linotype" w:eastAsia="GungsuhChe" w:hAnsi="Palatino Linotype"/>
          <w:b/>
          <w:sz w:val="18"/>
          <w:szCs w:val="18"/>
        </w:rPr>
      </w:pPr>
      <w:r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Si ricorda che ciascun semestre è articolato in </w:t>
      </w:r>
      <w:r w:rsidRPr="008158DD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>n</w:t>
      </w:r>
      <w:r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. 60 </w:t>
      </w:r>
      <w:r w:rsidRPr="008158DD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>ore</w:t>
      </w:r>
      <w:r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 </w:t>
      </w:r>
      <w:r w:rsidR="00E708CD">
        <w:rPr>
          <w:rFonts w:ascii="Palatino Linotype" w:eastAsia="GungsuhChe" w:hAnsi="Palatino Linotype" w:cs="Calibri"/>
          <w:b/>
          <w:bCs/>
          <w:color w:val="000000"/>
          <w:sz w:val="18"/>
          <w:szCs w:val="18"/>
        </w:rPr>
        <w:t xml:space="preserve">e che, per </w:t>
      </w:r>
      <w:r w:rsidR="00A2616B" w:rsidRPr="00A2616B">
        <w:rPr>
          <w:rFonts w:ascii="Palatino Linotype" w:eastAsia="GungsuhChe" w:hAnsi="Palatino Linotype"/>
          <w:b/>
          <w:sz w:val="18"/>
          <w:szCs w:val="18"/>
        </w:rPr>
        <w:t>accedere dal primo al secondo semestre e dal secondo al terzo semestre</w:t>
      </w:r>
      <w:r w:rsidR="00103028">
        <w:rPr>
          <w:rFonts w:ascii="Palatino Linotype" w:eastAsia="GungsuhChe" w:hAnsi="Palatino Linotype"/>
          <w:b/>
          <w:sz w:val="18"/>
          <w:szCs w:val="18"/>
        </w:rPr>
        <w:t>,</w:t>
      </w:r>
      <w:r w:rsidR="00A2616B" w:rsidRPr="00A2616B">
        <w:rPr>
          <w:rFonts w:ascii="Palatino Linotype" w:eastAsia="GungsuhChe" w:hAnsi="Palatino Linotype"/>
          <w:b/>
          <w:sz w:val="18"/>
          <w:szCs w:val="18"/>
        </w:rPr>
        <w:t xml:space="preserve"> </w:t>
      </w:r>
      <w:r w:rsidR="00103028">
        <w:rPr>
          <w:rFonts w:ascii="Palatino Linotype" w:eastAsia="GungsuhChe" w:hAnsi="Palatino Linotype"/>
          <w:b/>
          <w:sz w:val="18"/>
          <w:szCs w:val="18"/>
        </w:rPr>
        <w:t>sarà necessario aver frequentato almeno l’80% delle lezioni</w:t>
      </w:r>
      <w:r w:rsidR="00A2616B" w:rsidRPr="00A2616B">
        <w:rPr>
          <w:rFonts w:ascii="Palatino Linotype" w:eastAsia="GungsuhChe" w:hAnsi="Palatino Linotype"/>
          <w:b/>
          <w:sz w:val="18"/>
          <w:szCs w:val="18"/>
        </w:rPr>
        <w:t xml:space="preserve"> </w:t>
      </w:r>
      <w:r w:rsidR="00E708CD">
        <w:rPr>
          <w:rFonts w:ascii="Palatino Linotype" w:eastAsia="GungsuhChe" w:hAnsi="Palatino Linotype"/>
          <w:b/>
          <w:sz w:val="18"/>
          <w:szCs w:val="18"/>
        </w:rPr>
        <w:t xml:space="preserve">(n. 53 ore) </w:t>
      </w:r>
      <w:r w:rsidR="00A2616B" w:rsidRPr="00A2616B">
        <w:rPr>
          <w:rFonts w:ascii="Palatino Linotype" w:eastAsia="GungsuhChe" w:hAnsi="Palatino Linotype"/>
          <w:b/>
          <w:sz w:val="18"/>
          <w:szCs w:val="18"/>
        </w:rPr>
        <w:t>e</w:t>
      </w:r>
      <w:r w:rsidR="00103028">
        <w:rPr>
          <w:rFonts w:ascii="Palatino Linotype" w:eastAsia="GungsuhChe" w:hAnsi="Palatino Linotype"/>
          <w:b/>
          <w:sz w:val="18"/>
          <w:szCs w:val="18"/>
        </w:rPr>
        <w:t>d</w:t>
      </w:r>
      <w:r w:rsidR="00A2616B" w:rsidRPr="00A2616B">
        <w:rPr>
          <w:rFonts w:ascii="Palatino Linotype" w:eastAsia="GungsuhChe" w:hAnsi="Palatino Linotype"/>
          <w:b/>
          <w:sz w:val="18"/>
          <w:szCs w:val="18"/>
        </w:rPr>
        <w:t xml:space="preserve"> avere superato le prove di verifica intermedie.</w:t>
      </w:r>
    </w:p>
    <w:p w:rsidR="00A2616B" w:rsidRDefault="00A2616B" w:rsidP="00A2616B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sz w:val="18"/>
          <w:szCs w:val="18"/>
        </w:rPr>
      </w:pPr>
      <w:r w:rsidRPr="00A2616B">
        <w:rPr>
          <w:rFonts w:ascii="Palatino Linotype" w:eastAsia="GungsuhChe" w:hAnsi="Palatino Linotype"/>
          <w:b/>
          <w:sz w:val="18"/>
          <w:szCs w:val="18"/>
        </w:rPr>
        <w:t>I corsi si terranno secondo le modalità previste dal D.M. 17/2018.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sz w:val="18"/>
          <w:szCs w:val="18"/>
        </w:rPr>
      </w:pPr>
      <w:r w:rsidRPr="00103028">
        <w:rPr>
          <w:rFonts w:ascii="Palatino Linotype" w:eastAsia="GungsuhChe" w:hAnsi="Palatino Linotype"/>
          <w:b/>
          <w:sz w:val="18"/>
          <w:szCs w:val="18"/>
        </w:rPr>
        <w:t>Ciascuno dei semestri è autonomo</w:t>
      </w:r>
      <w:r>
        <w:rPr>
          <w:rFonts w:ascii="Palatino Linotype" w:eastAsia="GungsuhChe" w:hAnsi="Palatino Linotype"/>
          <w:b/>
          <w:sz w:val="18"/>
          <w:szCs w:val="18"/>
        </w:rPr>
        <w:t>,</w:t>
      </w:r>
      <w:r w:rsidRPr="00103028">
        <w:rPr>
          <w:rFonts w:ascii="Palatino Linotype" w:eastAsia="GungsuhChe" w:hAnsi="Palatino Linotype"/>
          <w:b/>
          <w:sz w:val="18"/>
          <w:szCs w:val="18"/>
        </w:rPr>
        <w:t xml:space="preserve"> ed </w:t>
      </w:r>
      <w:r>
        <w:rPr>
          <w:rFonts w:ascii="Palatino Linotype" w:eastAsia="GungsuhChe" w:hAnsi="Palatino Linotype"/>
          <w:b/>
          <w:sz w:val="18"/>
          <w:szCs w:val="18"/>
        </w:rPr>
        <w:t>avrà</w:t>
      </w:r>
      <w:r w:rsidRPr="00103028">
        <w:rPr>
          <w:rFonts w:ascii="Palatino Linotype" w:eastAsia="GungsuhChe" w:hAnsi="Palatino Linotype"/>
          <w:b/>
          <w:sz w:val="18"/>
          <w:szCs w:val="18"/>
        </w:rPr>
        <w:t xml:space="preserve"> ad oggetto le seguenti materie: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a) diritto civile, diritto penale, diritto amministrativo;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 xml:space="preserve">b) diritto processuale civile, penale e amministrativo, anche con riferimento al processo telematico, alle tecniche </w:t>
      </w:r>
      <w:proofErr w:type="spellStart"/>
      <w:r w:rsidRPr="00103028">
        <w:rPr>
          <w:rFonts w:ascii="Palatino Linotype" w:eastAsia="GungsuhChe" w:hAnsi="Palatino Linotype"/>
          <w:b/>
          <w:i/>
          <w:sz w:val="18"/>
          <w:szCs w:val="18"/>
        </w:rPr>
        <w:t>impugnatorie</w:t>
      </w:r>
      <w:proofErr w:type="spellEnd"/>
      <w:r w:rsidRPr="00103028">
        <w:rPr>
          <w:rFonts w:ascii="Palatino Linotype" w:eastAsia="GungsuhChe" w:hAnsi="Palatino Linotype"/>
          <w:b/>
          <w:i/>
          <w:sz w:val="18"/>
          <w:szCs w:val="18"/>
        </w:rPr>
        <w:t xml:space="preserve"> e alle procedure alternative per la risoluzione delle controversie;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c) ordinamento e deontologia forense;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d) tecnica di redazione degli atti giudiziari in conformità al principio di sinteticità' e dei pareri stragiudiziali nelle varie materie del diritto sostanziale e processuale;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e) tecniche della ricerca anche telematica delle fonti e del precedente giurisprudenziale;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f) teoria e pratica del linguaggio giuridico; argomentazione forense;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g) diritto costituzionale, diritto del lavoro, diritto commerciale, diritto dell'Unione europea, diritto internazionale privato, diritto tributario, diritto ecclesiastico;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h) organizzazione e amministrazione dello studio professionale;</w:t>
      </w:r>
    </w:p>
    <w:p w:rsidR="00103028" w:rsidRP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i) profili contributivi e tributari della professione di avvocato; previdenza forense;</w:t>
      </w:r>
    </w:p>
    <w:p w:rsid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  <w:r w:rsidRPr="00103028">
        <w:rPr>
          <w:rFonts w:ascii="Palatino Linotype" w:eastAsia="GungsuhChe" w:hAnsi="Palatino Linotype"/>
          <w:b/>
          <w:i/>
          <w:sz w:val="18"/>
          <w:szCs w:val="18"/>
        </w:rPr>
        <w:t>l) elementi di ordinamento giudiziario e penitenziario.</w:t>
      </w:r>
    </w:p>
    <w:p w:rsidR="00103028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i/>
          <w:sz w:val="18"/>
          <w:szCs w:val="18"/>
        </w:rPr>
      </w:pPr>
    </w:p>
    <w:p w:rsidR="00E708CD" w:rsidRDefault="00103028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sz w:val="18"/>
          <w:szCs w:val="18"/>
        </w:rPr>
      </w:pPr>
      <w:r w:rsidRPr="00103028">
        <w:rPr>
          <w:rFonts w:ascii="Palatino Linotype" w:eastAsia="GungsuhChe" w:hAnsi="Palatino Linotype"/>
          <w:b/>
          <w:sz w:val="18"/>
          <w:szCs w:val="18"/>
        </w:rPr>
        <w:t>Il corso ha un costo di € 100,00</w:t>
      </w:r>
      <w:r w:rsidR="00FC2C4E">
        <w:rPr>
          <w:rFonts w:ascii="Palatino Linotype" w:eastAsia="GungsuhChe" w:hAnsi="Palatino Linotype"/>
          <w:b/>
          <w:sz w:val="18"/>
          <w:szCs w:val="18"/>
        </w:rPr>
        <w:t xml:space="preserve"> per ogni singolo semestre</w:t>
      </w:r>
      <w:r w:rsidRPr="00103028">
        <w:rPr>
          <w:rFonts w:ascii="Palatino Linotype" w:eastAsia="GungsuhChe" w:hAnsi="Palatino Linotype"/>
          <w:b/>
          <w:sz w:val="18"/>
          <w:szCs w:val="18"/>
        </w:rPr>
        <w:t>.</w:t>
      </w:r>
      <w:r w:rsidR="003C45E6">
        <w:rPr>
          <w:rFonts w:ascii="Palatino Linotype" w:eastAsia="GungsuhChe" w:hAnsi="Palatino Linotype"/>
          <w:b/>
          <w:sz w:val="18"/>
          <w:szCs w:val="18"/>
        </w:rPr>
        <w:t xml:space="preserve"> </w:t>
      </w:r>
      <w:r w:rsidR="00E708CD">
        <w:rPr>
          <w:rFonts w:ascii="Palatino Linotype" w:eastAsia="GungsuhChe" w:hAnsi="Palatino Linotype"/>
          <w:b/>
          <w:sz w:val="18"/>
          <w:szCs w:val="18"/>
        </w:rPr>
        <w:t xml:space="preserve">Il pagamento </w:t>
      </w:r>
      <w:r w:rsidR="00FC2C4E">
        <w:rPr>
          <w:rFonts w:ascii="Palatino Linotype" w:eastAsia="GungsuhChe" w:hAnsi="Palatino Linotype"/>
          <w:b/>
          <w:sz w:val="18"/>
          <w:szCs w:val="18"/>
        </w:rPr>
        <w:t>dovrà</w:t>
      </w:r>
      <w:r w:rsidR="00E708CD">
        <w:rPr>
          <w:rFonts w:ascii="Palatino Linotype" w:eastAsia="GungsuhChe" w:hAnsi="Palatino Linotype"/>
          <w:b/>
          <w:sz w:val="18"/>
          <w:szCs w:val="18"/>
        </w:rPr>
        <w:t xml:space="preserve"> essere effettuato</w:t>
      </w:r>
      <w:r w:rsidR="00FC2C4E">
        <w:rPr>
          <w:rFonts w:ascii="Palatino Linotype" w:eastAsia="GungsuhChe" w:hAnsi="Palatino Linotype"/>
          <w:b/>
          <w:sz w:val="18"/>
          <w:szCs w:val="18"/>
        </w:rPr>
        <w:t>, entro e non oltre il 5.09.2022,</w:t>
      </w:r>
      <w:r w:rsidR="00E708CD">
        <w:rPr>
          <w:rFonts w:ascii="Palatino Linotype" w:eastAsia="GungsuhChe" w:hAnsi="Palatino Linotype"/>
          <w:b/>
          <w:sz w:val="18"/>
          <w:szCs w:val="18"/>
        </w:rPr>
        <w:t xml:space="preserve"> mediante bonifico</w:t>
      </w:r>
      <w:r w:rsidR="00FC2C4E">
        <w:rPr>
          <w:rFonts w:ascii="Palatino Linotype" w:eastAsia="GungsuhChe" w:hAnsi="Palatino Linotype"/>
          <w:b/>
          <w:sz w:val="18"/>
          <w:szCs w:val="18"/>
        </w:rPr>
        <w:t xml:space="preserve"> intestato all’Ordine degli Avvocati di Lamezia Terme</w:t>
      </w:r>
      <w:r w:rsidR="00E708CD">
        <w:rPr>
          <w:rFonts w:ascii="Palatino Linotype" w:eastAsia="GungsuhChe" w:hAnsi="Palatino Linotype"/>
          <w:b/>
          <w:sz w:val="18"/>
          <w:szCs w:val="18"/>
        </w:rPr>
        <w:t xml:space="preserve"> (</w:t>
      </w:r>
      <w:r w:rsidR="00FC2C4E">
        <w:rPr>
          <w:rFonts w:ascii="Palatino Linotype" w:eastAsia="GungsuhChe" w:hAnsi="Palatino Linotype"/>
          <w:b/>
          <w:sz w:val="18"/>
          <w:szCs w:val="18"/>
        </w:rPr>
        <w:t>IBAN</w:t>
      </w:r>
      <w:r w:rsidR="00E708CD" w:rsidRPr="00E708CD">
        <w:rPr>
          <w:rFonts w:ascii="Palatino Linotype" w:eastAsia="GungsuhChe" w:hAnsi="Palatino Linotype"/>
          <w:b/>
          <w:sz w:val="18"/>
          <w:szCs w:val="18"/>
        </w:rPr>
        <w:t xml:space="preserve"> IT83D0825842840004000001868</w:t>
      </w:r>
      <w:r w:rsidR="00E708CD">
        <w:rPr>
          <w:rFonts w:ascii="Palatino Linotype" w:eastAsia="GungsuhChe" w:hAnsi="Palatino Linotype"/>
          <w:b/>
          <w:sz w:val="18"/>
          <w:szCs w:val="18"/>
        </w:rPr>
        <w:t>).</w:t>
      </w:r>
    </w:p>
    <w:p w:rsidR="00E708CD" w:rsidRDefault="00E708CD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sz w:val="18"/>
          <w:szCs w:val="18"/>
        </w:rPr>
      </w:pPr>
    </w:p>
    <w:p w:rsidR="00103028" w:rsidRDefault="003C45E6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sz w:val="18"/>
          <w:szCs w:val="18"/>
        </w:rPr>
      </w:pPr>
      <w:r>
        <w:rPr>
          <w:rFonts w:ascii="Palatino Linotype" w:eastAsia="GungsuhChe" w:hAnsi="Palatino Linotype"/>
          <w:b/>
          <w:sz w:val="18"/>
          <w:szCs w:val="18"/>
        </w:rPr>
        <w:t xml:space="preserve">Per qualsivoglia ulteriore informazione, sarà possibile rivolgersi alla Segreteria dell’Ordine degli Avvocati di Lamezia Terme (via Leonardo da Vinci n. 2/c; tel. 0968200180; pec </w:t>
      </w:r>
      <w:r w:rsidRPr="003C45E6">
        <w:rPr>
          <w:rFonts w:ascii="Palatino Linotype" w:eastAsia="GungsuhChe" w:hAnsi="Palatino Linotype"/>
          <w:b/>
          <w:sz w:val="18"/>
          <w:szCs w:val="18"/>
        </w:rPr>
        <w:t>ord.lameziaterme@cert.legalmail.it</w:t>
      </w:r>
      <w:r>
        <w:rPr>
          <w:rFonts w:ascii="Palatino Linotype" w:eastAsia="GungsuhChe" w:hAnsi="Palatino Linotype"/>
          <w:b/>
          <w:sz w:val="18"/>
          <w:szCs w:val="18"/>
        </w:rPr>
        <w:t>).</w:t>
      </w:r>
    </w:p>
    <w:p w:rsidR="003C45E6" w:rsidRPr="003C45E6" w:rsidRDefault="003C45E6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sz w:val="18"/>
          <w:szCs w:val="18"/>
        </w:rPr>
      </w:pPr>
    </w:p>
    <w:p w:rsidR="003C45E6" w:rsidRPr="003C45E6" w:rsidRDefault="003C45E6" w:rsidP="00103028">
      <w:pPr>
        <w:pStyle w:val="Corpotesto"/>
        <w:spacing w:before="60"/>
        <w:ind w:left="567" w:right="924"/>
        <w:jc w:val="both"/>
        <w:rPr>
          <w:rFonts w:ascii="Palatino Linotype" w:eastAsia="GungsuhChe" w:hAnsi="Palatino Linotype"/>
          <w:b/>
          <w:sz w:val="18"/>
          <w:szCs w:val="18"/>
        </w:rPr>
      </w:pPr>
    </w:p>
    <w:p w:rsidR="003C45E6" w:rsidRPr="003C45E6" w:rsidRDefault="003C45E6" w:rsidP="003C45E6">
      <w:pPr>
        <w:tabs>
          <w:tab w:val="left" w:pos="1749"/>
        </w:tabs>
        <w:rPr>
          <w:rFonts w:ascii="Palatino Linotype" w:eastAsia="Gungsuh" w:hAnsi="Palatino Linotype"/>
          <w:b/>
          <w:sz w:val="18"/>
          <w:szCs w:val="18"/>
        </w:rPr>
      </w:pPr>
      <w:r w:rsidRPr="003C45E6">
        <w:rPr>
          <w:rFonts w:ascii="Palatino Linotype" w:eastAsia="Gungsuh" w:hAnsi="Palatino Linotype"/>
          <w:sz w:val="18"/>
          <w:szCs w:val="18"/>
        </w:rPr>
        <w:tab/>
      </w:r>
      <w:r w:rsidRPr="003C45E6">
        <w:rPr>
          <w:rFonts w:ascii="Palatino Linotype" w:eastAsia="Gungsuh" w:hAnsi="Palatino Linotype"/>
          <w:b/>
          <w:sz w:val="18"/>
          <w:szCs w:val="18"/>
        </w:rPr>
        <w:t xml:space="preserve">Il Presidente </w:t>
      </w:r>
      <w:r>
        <w:rPr>
          <w:rFonts w:ascii="Palatino Linotype" w:eastAsia="Gungsuh" w:hAnsi="Palatino Linotype"/>
          <w:b/>
          <w:sz w:val="18"/>
          <w:szCs w:val="18"/>
        </w:rPr>
        <w:tab/>
      </w:r>
      <w:r>
        <w:rPr>
          <w:rFonts w:ascii="Palatino Linotype" w:eastAsia="Gungsuh" w:hAnsi="Palatino Linotype"/>
          <w:b/>
          <w:sz w:val="18"/>
          <w:szCs w:val="18"/>
        </w:rPr>
        <w:tab/>
      </w:r>
      <w:r>
        <w:rPr>
          <w:rFonts w:ascii="Palatino Linotype" w:eastAsia="Gungsuh" w:hAnsi="Palatino Linotype"/>
          <w:b/>
          <w:sz w:val="18"/>
          <w:szCs w:val="18"/>
        </w:rPr>
        <w:tab/>
      </w:r>
      <w:r>
        <w:rPr>
          <w:rFonts w:ascii="Palatino Linotype" w:eastAsia="Gungsuh" w:hAnsi="Palatino Linotype"/>
          <w:b/>
          <w:sz w:val="18"/>
          <w:szCs w:val="18"/>
        </w:rPr>
        <w:tab/>
      </w:r>
      <w:r>
        <w:rPr>
          <w:rFonts w:ascii="Palatino Linotype" w:eastAsia="Gungsuh" w:hAnsi="Palatino Linotype"/>
          <w:b/>
          <w:sz w:val="18"/>
          <w:szCs w:val="18"/>
        </w:rPr>
        <w:tab/>
      </w:r>
      <w:r>
        <w:rPr>
          <w:rFonts w:ascii="Palatino Linotype" w:eastAsia="Gungsuh" w:hAnsi="Palatino Linotype"/>
          <w:b/>
          <w:sz w:val="18"/>
          <w:szCs w:val="18"/>
        </w:rPr>
        <w:tab/>
      </w:r>
      <w:r>
        <w:rPr>
          <w:rFonts w:ascii="Palatino Linotype" w:eastAsia="Gungsuh" w:hAnsi="Palatino Linotype"/>
          <w:b/>
          <w:sz w:val="18"/>
          <w:szCs w:val="18"/>
        </w:rPr>
        <w:tab/>
        <w:t>Il Segretario</w:t>
      </w:r>
    </w:p>
    <w:sectPr w:rsidR="003C45E6" w:rsidRPr="003C45E6">
      <w:pgSz w:w="11920" w:h="16850"/>
      <w:pgMar w:top="128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56697"/>
    <w:multiLevelType w:val="hybridMultilevel"/>
    <w:tmpl w:val="00CCE2AC"/>
    <w:lvl w:ilvl="0" w:tplc="8A42A0EC">
      <w:numFmt w:val="bullet"/>
      <w:lvlText w:val="o"/>
      <w:lvlJc w:val="left"/>
      <w:pPr>
        <w:ind w:left="9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F0A487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2" w:tplc="6D3AC78C">
      <w:numFmt w:val="bullet"/>
      <w:lvlText w:val="•"/>
      <w:lvlJc w:val="left"/>
      <w:pPr>
        <w:ind w:left="2806" w:hanging="360"/>
      </w:pPr>
      <w:rPr>
        <w:rFonts w:hint="default"/>
        <w:lang w:val="it-IT" w:eastAsia="en-US" w:bidi="ar-SA"/>
      </w:rPr>
    </w:lvl>
    <w:lvl w:ilvl="3" w:tplc="E6E43CBC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449EF1B4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37762374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6" w:tplc="7022361A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E3689B9A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  <w:lvl w:ilvl="8" w:tplc="EE20018A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2"/>
    <w:rsid w:val="00103028"/>
    <w:rsid w:val="001E47BB"/>
    <w:rsid w:val="003C45E6"/>
    <w:rsid w:val="00414D63"/>
    <w:rsid w:val="005E28A6"/>
    <w:rsid w:val="008158DD"/>
    <w:rsid w:val="008A6FEE"/>
    <w:rsid w:val="008D2CBB"/>
    <w:rsid w:val="00A2616B"/>
    <w:rsid w:val="00DE7422"/>
    <w:rsid w:val="00E708CD"/>
    <w:rsid w:val="00EF13ED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E161D-E16B-4CF9-8506-0D81E65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9"/>
      <w:ind w:left="5559" w:firstLine="928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3"/>
      <w:ind w:left="94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E47B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C4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IscrizioneScuola Forense</vt:lpstr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IscrizioneScuola Forense</dc:title>
  <dc:creator>jwralo</dc:creator>
  <cp:lastModifiedBy>Utente</cp:lastModifiedBy>
  <cp:revision>6</cp:revision>
  <dcterms:created xsi:type="dcterms:W3CDTF">2022-07-28T17:08:00Z</dcterms:created>
  <dcterms:modified xsi:type="dcterms:W3CDTF">2022-08-01T08:03:00Z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2022-06-27T00:00:00Z</vt:filetime>
  </property>
</Properties>
</file>